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9" w:rsidRPr="00583EDA" w:rsidRDefault="00D83499">
      <w:pPr>
        <w:jc w:val="right"/>
        <w:rPr>
          <w:b/>
          <w:color w:val="auto"/>
          <w:sz w:val="24"/>
        </w:rPr>
      </w:pPr>
      <w:r w:rsidRPr="00583EDA">
        <w:rPr>
          <w:b/>
          <w:color w:val="auto"/>
          <w:sz w:val="24"/>
        </w:rPr>
        <w:t>Nr. Buletin vot ........</w:t>
      </w:r>
    </w:p>
    <w:p w:rsidR="00A77D79" w:rsidRPr="00583EDA" w:rsidRDefault="00D83499">
      <w:pPr>
        <w:jc w:val="center"/>
        <w:rPr>
          <w:color w:val="auto"/>
          <w:sz w:val="28"/>
          <w:szCs w:val="28"/>
        </w:rPr>
      </w:pPr>
      <w:r w:rsidRPr="00583EDA">
        <w:rPr>
          <w:b/>
          <w:color w:val="auto"/>
          <w:sz w:val="26"/>
          <w:szCs w:val="26"/>
        </w:rPr>
        <w:t>Buletin de vot</w:t>
      </w:r>
      <w:r w:rsidRPr="00583EDA">
        <w:rPr>
          <w:rStyle w:val="FootnoteAnchor"/>
          <w:b/>
          <w:color w:val="auto"/>
          <w:sz w:val="26"/>
          <w:szCs w:val="26"/>
        </w:rPr>
        <w:footnoteReference w:id="1"/>
      </w:r>
      <w:r w:rsidRPr="00583EDA">
        <w:rPr>
          <w:b/>
          <w:color w:val="auto"/>
          <w:sz w:val="26"/>
          <w:szCs w:val="26"/>
        </w:rPr>
        <w:t xml:space="preserve"> pentru AGO</w:t>
      </w:r>
      <w:r w:rsidR="002E1C76" w:rsidRPr="00583EDA">
        <w:rPr>
          <w:b/>
          <w:color w:val="auto"/>
          <w:sz w:val="26"/>
          <w:szCs w:val="26"/>
        </w:rPr>
        <w:t>A Electromagnetica din data de 28</w:t>
      </w:r>
      <w:r w:rsidR="009F35C9">
        <w:rPr>
          <w:b/>
          <w:color w:val="auto"/>
          <w:sz w:val="26"/>
          <w:szCs w:val="26"/>
        </w:rPr>
        <w:t xml:space="preserve"> aprilie 2020</w:t>
      </w:r>
      <w:r w:rsidRPr="00583EDA">
        <w:rPr>
          <w:b/>
          <w:color w:val="auto"/>
          <w:sz w:val="26"/>
          <w:szCs w:val="26"/>
        </w:rPr>
        <w:t>, ora 13:00</w:t>
      </w:r>
    </w:p>
    <w:p w:rsidR="00A77D79" w:rsidRPr="00583EDA" w:rsidRDefault="00A77D79">
      <w:pPr>
        <w:rPr>
          <w:color w:val="auto"/>
        </w:rPr>
      </w:pPr>
    </w:p>
    <w:p w:rsidR="00A77D79" w:rsidRPr="00583EDA" w:rsidRDefault="00D83499">
      <w:pPr>
        <w:rPr>
          <w:color w:val="auto"/>
        </w:rPr>
      </w:pPr>
      <w:r w:rsidRPr="00583EDA">
        <w:rPr>
          <w:color w:val="auto"/>
        </w:rPr>
        <w:t xml:space="preserve">Nr de actiuni detinute la data de referinta </w:t>
      </w:r>
      <w:r w:rsidR="002E1C76" w:rsidRPr="00583EDA">
        <w:rPr>
          <w:b/>
          <w:color w:val="auto"/>
        </w:rPr>
        <w:t>16</w:t>
      </w:r>
      <w:r w:rsidR="00B45DCC">
        <w:rPr>
          <w:b/>
          <w:color w:val="auto"/>
        </w:rPr>
        <w:t xml:space="preserve"> aprilie 2020</w:t>
      </w:r>
      <w:bookmarkStart w:id="0" w:name="_GoBack"/>
      <w:bookmarkEnd w:id="0"/>
      <w:r w:rsidRPr="00583EDA">
        <w:rPr>
          <w:color w:val="auto"/>
        </w:rPr>
        <w:t xml:space="preserve"> si/sau reprezentate:...........................................</w:t>
      </w:r>
    </w:p>
    <w:p w:rsidR="00A77D79" w:rsidRPr="00583EDA" w:rsidRDefault="00D83499">
      <w:pPr>
        <w:rPr>
          <w:color w:val="auto"/>
        </w:rPr>
      </w:pPr>
      <w:r w:rsidRPr="00583EDA">
        <w:rPr>
          <w:color w:val="auto"/>
        </w:rPr>
        <w:t>Nr drepturilor de vot:..................................................</w:t>
      </w:r>
    </w:p>
    <w:tbl>
      <w:tblPr>
        <w:tblStyle w:val="TableGrid"/>
        <w:tblW w:w="5165" w:type="pct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3"/>
        <w:gridCol w:w="5903"/>
        <w:gridCol w:w="1134"/>
        <w:gridCol w:w="1276"/>
        <w:gridCol w:w="1134"/>
      </w:tblGrid>
      <w:tr w:rsidR="00583EDA" w:rsidRPr="00583EDA" w:rsidTr="003738D7">
        <w:trPr>
          <w:trHeight w:val="276"/>
          <w:tblHeader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Nr Crt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before="58" w:after="0" w:line="240" w:lineRule="auto"/>
              <w:ind w:left="144"/>
              <w:rPr>
                <w:b/>
                <w:color w:val="auto"/>
              </w:rPr>
            </w:pPr>
            <w:r w:rsidRPr="00583EDA">
              <w:rPr>
                <w:b/>
                <w:color w:val="auto"/>
                <w:sz w:val="24"/>
                <w:szCs w:val="24"/>
              </w:rPr>
              <w:t>Hotarare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583EDA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583EDA">
              <w:rPr>
                <w:b/>
                <w:i/>
                <w:color w:val="auto"/>
                <w:sz w:val="24"/>
                <w:szCs w:val="24"/>
              </w:rPr>
              <w:t>Pentru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583EDA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583EDA">
              <w:rPr>
                <w:b/>
                <w:i/>
                <w:color w:val="auto"/>
                <w:sz w:val="24"/>
                <w:szCs w:val="24"/>
              </w:rPr>
              <w:t>Impotriva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583EDA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583EDA">
              <w:rPr>
                <w:b/>
                <w:i/>
                <w:color w:val="auto"/>
                <w:sz w:val="24"/>
                <w:szCs w:val="24"/>
              </w:rPr>
              <w:t>Abtinere</w:t>
            </w:r>
          </w:p>
        </w:tc>
      </w:tr>
      <w:tr w:rsidR="00583EDA" w:rsidRPr="00583EDA" w:rsidTr="003738D7">
        <w:trPr>
          <w:trHeight w:val="292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583EDA">
              <w:rPr>
                <w:b/>
                <w:color w:val="auto"/>
              </w:rPr>
              <w:t>1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1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color w:val="auto"/>
              </w:rPr>
              <w:t>Aprobarea situaţiilor financiare anuale individuale pentru e</w:t>
            </w:r>
            <w:r w:rsidR="002E1C76" w:rsidRPr="00583EDA">
              <w:rPr>
                <w:rFonts w:ascii="Times New Roman" w:hAnsi="Times New Roman" w:cs="Times New Roman"/>
                <w:i/>
                <w:color w:val="auto"/>
              </w:rPr>
              <w:t>xercitiul incheiat la 31.12.2019</w:t>
            </w:r>
            <w:r w:rsidRPr="00583EDA">
              <w:rPr>
                <w:rFonts w:ascii="Times New Roman" w:hAnsi="Times New Roman" w:cs="Times New Roman"/>
                <w:i/>
                <w:color w:val="auto"/>
              </w:rPr>
              <w:t xml:space="preserve"> potrivit Reglementarilor contabile conforme cu Standardele internationale de raportare financiara, insotite de raportul Consiliului de Administratie si raportul auditorului financiar, formate din: situatia pozitiei financiare, situatia rezultatului global, situaţia modificărilor  capitalurilor proprii, situaţia fluxurilor de trezorerie, notele la situaţiile financiare individuale.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ind w:left="76" w:hanging="7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292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583EDA">
              <w:rPr>
                <w:b/>
                <w:color w:val="auto"/>
              </w:rPr>
              <w:t>2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1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color w:val="auto"/>
              </w:rPr>
              <w:t>Aprobarea situatiilor financiare anuale consolidate pentru e</w:t>
            </w:r>
            <w:r w:rsidR="002E1C76" w:rsidRPr="00583EDA">
              <w:rPr>
                <w:rFonts w:ascii="Times New Roman" w:hAnsi="Times New Roman" w:cs="Times New Roman"/>
                <w:i/>
                <w:color w:val="auto"/>
              </w:rPr>
              <w:t>xercitiul incheiat la 31.12.2019</w:t>
            </w:r>
            <w:r w:rsidRPr="00583EDA">
              <w:rPr>
                <w:rFonts w:ascii="Times New Roman" w:hAnsi="Times New Roman" w:cs="Times New Roman"/>
                <w:i/>
                <w:color w:val="auto"/>
              </w:rPr>
              <w:t xml:space="preserve"> potrivit Reglementarilor contabile conforme  cu Standardele internationale de raportare financiara insotite de raportul Consiliului de Administratie si raportul auditorului financiar, formate din: situatia consolidata a pozitiei financiare, situatia consolidata a rezultatului global, situatia consolidata a modificarilor capitalurilor proprii, situatia consolidata a fluxurilor de trezorerie, note</w:t>
            </w:r>
            <w:r w:rsidR="002E1C76" w:rsidRPr="00583EDA">
              <w:rPr>
                <w:rFonts w:ascii="Times New Roman" w:hAnsi="Times New Roman" w:cs="Times New Roman"/>
                <w:i/>
                <w:color w:val="auto"/>
              </w:rPr>
              <w:t>le</w:t>
            </w:r>
            <w:r w:rsidRPr="00583EDA">
              <w:rPr>
                <w:rFonts w:ascii="Times New Roman" w:hAnsi="Times New Roman" w:cs="Times New Roman"/>
                <w:i/>
                <w:color w:val="auto"/>
              </w:rPr>
              <w:t xml:space="preserve"> la situatiile financiare consolidate.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583EDA">
              <w:rPr>
                <w:b/>
                <w:color w:val="auto"/>
              </w:rPr>
              <w:t>3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Calibri" w:hAnsi="Calibri"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color w:val="auto"/>
              </w:rPr>
              <w:t>Aprobarea repartizarii profitului net și fixarea dividendului în valoare brut de 0,004 lei/actiune, mandatarea Consiliului de Admninistratie sa desemneze agentul de plata.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69564E" w:rsidRPr="00583EDA" w:rsidRDefault="0069564E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4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69564E" w:rsidRPr="00583EDA" w:rsidRDefault="0069564E" w:rsidP="0069564E">
            <w:pPr>
              <w:spacing w:before="280" w:after="280" w:line="240" w:lineRule="auto"/>
              <w:ind w:left="140" w:hanging="140"/>
              <w:contextualSpacing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color w:val="auto"/>
              </w:rPr>
              <w:t xml:space="preserve">  Prelungirea mandatului auditorului Deloitte </w:t>
            </w:r>
            <w:r w:rsidR="007A0BA8" w:rsidRPr="00583EDA">
              <w:rPr>
                <w:rFonts w:ascii="Times New Roman" w:hAnsi="Times New Roman" w:cs="Times New Roman"/>
                <w:i/>
                <w:color w:val="auto"/>
              </w:rPr>
              <w:t xml:space="preserve">Audit SRL </w:t>
            </w:r>
            <w:r w:rsidRPr="00583EDA">
              <w:rPr>
                <w:rFonts w:ascii="Times New Roman" w:hAnsi="Times New Roman" w:cs="Times New Roman"/>
                <w:i/>
                <w:color w:val="auto"/>
              </w:rPr>
              <w:t>pentru un an, respectiv auditarea exercitului financiar 2020, cu mandatarea Consiliului de Administratie de a negocia, incheia și semna în numele și pentru societate contractul.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69564E" w:rsidRPr="00583EDA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69564E" w:rsidRPr="00583EDA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69564E" w:rsidRPr="00583EDA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69564E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5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69564E" w:rsidP="0069564E">
            <w:pPr>
              <w:suppressAutoHyphens/>
              <w:spacing w:before="58" w:after="0" w:line="24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Aprobarea datei de 01 septembrie 2020 ca Data Platii Dividendelor. În cazul în care intervin modificari ale cadrului legislativ cu privire la modul de calcul al datei platii , data platii este stabilită în ultima zi lucratoare a perioadei maxime prevazuta de prevederile legale, astfel modificate, dintre data de inregistrare și data platii. Într-un astfel de caz, Consiliul de Administratie va transmite și publica un raport curent, disponibil și pe pagina de internet a societății, cu privire la data platii modificata.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69564E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lastRenderedPageBreak/>
              <w:t>6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Descărcarea de gestiune a administratorilor pentru exe</w:t>
            </w:r>
            <w:r w:rsidR="0069564E" w:rsidRPr="00583EDA">
              <w:rPr>
                <w:rFonts w:ascii="Times New Roman" w:hAnsi="Times New Roman" w:cs="Times New Roman"/>
                <w:i/>
                <w:iCs/>
                <w:color w:val="auto"/>
              </w:rPr>
              <w:t>rciţiul financiar al anului 2019</w:t>
            </w: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FC3A4B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7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Aprobarea Bugetului de venitur</w:t>
            </w:r>
            <w:r w:rsidR="00FC3A4B" w:rsidRPr="00583EDA">
              <w:rPr>
                <w:rFonts w:ascii="Times New Roman" w:hAnsi="Times New Roman" w:cs="Times New Roman"/>
                <w:i/>
                <w:iCs/>
                <w:color w:val="auto"/>
              </w:rPr>
              <w:t>i şi cheltuieli pentru anul 2020</w:t>
            </w: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şi a Programului de activitate pentru exerciţiul </w:t>
            </w:r>
            <w:r w:rsidR="00FC3A4B" w:rsidRPr="00583EDA">
              <w:rPr>
                <w:rFonts w:ascii="Times New Roman" w:hAnsi="Times New Roman" w:cs="Times New Roman"/>
                <w:i/>
                <w:iCs/>
                <w:color w:val="auto"/>
              </w:rPr>
              <w:t>financiar al anului 2020</w:t>
            </w: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, cu mandatarea Consiliului de Administratie pentru recorelarea elementelor de venituri si cheltuieli, in conditiile aparitiei unor evenimente aleatorii imprevizibile.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FC3A4B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8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Calibri" w:hAnsi="Calibri"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Aprobarea remuneraţiei cuvenite membrilor Consiliului de Administraţie pentru exe</w:t>
            </w:r>
            <w:r w:rsidR="00FC3A4B" w:rsidRPr="00583EDA">
              <w:rPr>
                <w:rFonts w:ascii="Times New Roman" w:hAnsi="Times New Roman" w:cs="Times New Roman"/>
                <w:i/>
                <w:iCs/>
                <w:color w:val="auto"/>
              </w:rPr>
              <w:t>rciţiul financiar al anului 2020.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9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Aprobarea remuneratiei</w:t>
            </w:r>
            <w:r w:rsidR="00FC3A4B" w:rsidRPr="00583ED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membrilor Comitetului de Audit pentru exerciţiul financiar al anului 2020.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83EDA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10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FC3A4B" w:rsidP="00B95C64">
            <w:pPr>
              <w:suppressAutoHyphens/>
              <w:spacing w:before="58" w:after="0" w:line="24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Aprobarea datei de 18.08.2020 ca data de inregistrare pentru identificarea acţionarilor asupra cărora se </w:t>
            </w:r>
            <w:r w:rsidR="00583EDA">
              <w:rPr>
                <w:rFonts w:ascii="Times New Roman" w:hAnsi="Times New Roman" w:cs="Times New Roman"/>
                <w:i/>
                <w:iCs/>
                <w:color w:val="auto"/>
              </w:rPr>
              <w:t>răsfrâng efectele hotărârilor AGO</w:t>
            </w: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A si a datei de 17.08.2020 ca ex-date (data la care actiunile se tranzactioneaza fara drepturile care deriva din hotararile AGOA).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C70038" w:rsidRPr="00583EDA" w:rsidTr="003738D7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83EDA">
              <w:rPr>
                <w:b/>
                <w:color w:val="auto"/>
              </w:rPr>
              <w:t>11</w:t>
            </w:r>
          </w:p>
        </w:tc>
        <w:tc>
          <w:tcPr>
            <w:tcW w:w="5903" w:type="dxa"/>
            <w:shd w:val="clear" w:color="auto" w:fill="auto"/>
            <w:tcMar>
              <w:left w:w="93" w:type="dxa"/>
            </w:tcMar>
          </w:tcPr>
          <w:p w:rsidR="00C70038" w:rsidRPr="00583EDA" w:rsidRDefault="00FC3A4B" w:rsidP="00FC3A4B">
            <w:pPr>
              <w:suppressAutoHyphens/>
              <w:spacing w:before="58" w:after="0" w:line="240" w:lineRule="auto"/>
              <w:ind w:left="144"/>
              <w:jc w:val="both"/>
              <w:rPr>
                <w:i/>
                <w:color w:val="auto"/>
                <w:lang w:val="en-US"/>
              </w:rPr>
            </w:pPr>
            <w:r w:rsidRPr="00583EDA">
              <w:rPr>
                <w:rFonts w:ascii="Times New Roman" w:hAnsi="Times New Roman" w:cs="Times New Roman"/>
                <w:i/>
                <w:iCs/>
                <w:color w:val="auto"/>
              </w:rPr>
              <w:t>Mandatarea d-lui Eugen Scheusan – Presedintele Consiliului de Administratie, cu posibilitatea de substituire, pentru: i) a incheia si/sau semna, in numele Societatii si/sau al actionarilor Societatii hotararile prezentei AGOA, oricare si toate hotararile, documentele, aplicatiile, formularele si cererile adoptate/intocmite in scopul sau pentru executarea hotararilor prezentei AGOA in relatie cu orice persoana fizica sau juridica, privata sau publica, pentru ii) a efectua toate formalitatile legale pentru inregistrare, opozabilitate, executare si publicare a hotararilor adoptate.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583EDA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77D79" w:rsidRPr="00583EDA" w:rsidRDefault="00A77D79">
      <w:pPr>
        <w:rPr>
          <w:color w:val="auto"/>
        </w:rPr>
      </w:pPr>
    </w:p>
    <w:sectPr w:rsidR="00A77D79" w:rsidRPr="00583EDA">
      <w:footerReference w:type="default" r:id="rId7"/>
      <w:pgSz w:w="11909" w:h="16834"/>
      <w:pgMar w:top="1440" w:right="1080" w:bottom="1440" w:left="1080" w:header="0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02" w:rsidRDefault="00547802">
      <w:pPr>
        <w:spacing w:after="0" w:line="240" w:lineRule="auto"/>
      </w:pPr>
      <w:r>
        <w:separator/>
      </w:r>
    </w:p>
  </w:endnote>
  <w:endnote w:type="continuationSeparator" w:id="0">
    <w:p w:rsidR="00547802" w:rsidRDefault="0054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98104"/>
      <w:docPartObj>
        <w:docPartGallery w:val="Page Numbers (Bottom of Page)"/>
        <w:docPartUnique/>
      </w:docPartObj>
    </w:sdtPr>
    <w:sdtEndPr/>
    <w:sdtContent>
      <w:p w:rsidR="00A77D79" w:rsidRDefault="00D83499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5DCC">
          <w:rPr>
            <w:noProof/>
          </w:rPr>
          <w:t>2</w:t>
        </w:r>
        <w:r>
          <w:fldChar w:fldCharType="end"/>
        </w:r>
      </w:p>
    </w:sdtContent>
  </w:sdt>
  <w:p w:rsidR="00A77D79" w:rsidRDefault="00A7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02" w:rsidRDefault="00547802">
      <w:r>
        <w:separator/>
      </w:r>
    </w:p>
  </w:footnote>
  <w:footnote w:type="continuationSeparator" w:id="0">
    <w:p w:rsidR="00547802" w:rsidRDefault="00547802">
      <w:r>
        <w:continuationSeparator/>
      </w:r>
    </w:p>
  </w:footnote>
  <w:footnote w:id="1">
    <w:p w:rsidR="00A77D79" w:rsidRDefault="00D83499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La fiecare punct de pe ordinea de zi, indicati votul dvs prin bifarea cu un X in casuta corespunzatoare optiunii alese de dvs. In situatia in care nu se bifeaza nici o casuta, votul se considera neexprimat iar daca se bifeaza la acelasi punct mai multe optiuni, votul se considera nul.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9"/>
    <w:rsid w:val="002E1C76"/>
    <w:rsid w:val="003738D7"/>
    <w:rsid w:val="00382956"/>
    <w:rsid w:val="00547802"/>
    <w:rsid w:val="00583EDA"/>
    <w:rsid w:val="00681C9C"/>
    <w:rsid w:val="0069564E"/>
    <w:rsid w:val="006C08C1"/>
    <w:rsid w:val="0071793A"/>
    <w:rsid w:val="00783B9F"/>
    <w:rsid w:val="007A0BA8"/>
    <w:rsid w:val="009F35C9"/>
    <w:rsid w:val="00A65B9D"/>
    <w:rsid w:val="00A77D79"/>
    <w:rsid w:val="00AC6B32"/>
    <w:rsid w:val="00B20964"/>
    <w:rsid w:val="00B45DCC"/>
    <w:rsid w:val="00B95C64"/>
    <w:rsid w:val="00BF6680"/>
    <w:rsid w:val="00BF7EF2"/>
    <w:rsid w:val="00C70038"/>
    <w:rsid w:val="00D83499"/>
    <w:rsid w:val="00EE638E"/>
    <w:rsid w:val="00FA0610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0000-F9F4-4623-9ABC-6752811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B6"/>
    <w:pPr>
      <w:spacing w:after="200" w:line="276" w:lineRule="auto"/>
    </w:pPr>
    <w:rPr>
      <w:color w:val="00000A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344C75"/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B52F2"/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B52F2"/>
    <w:rPr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940F20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40F2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A3CA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B13D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C75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BodyText"/>
    <w:qFormat/>
    <w:rsid w:val="00344C75"/>
    <w:pPr>
      <w:suppressLineNumbers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2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52F2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940F20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</w:style>
  <w:style w:type="paragraph" w:styleId="NormalWeb">
    <w:name w:val="Normal (Web)"/>
    <w:basedOn w:val="Normal"/>
    <w:uiPriority w:val="99"/>
    <w:unhideWhenUsed/>
    <w:qFormat/>
    <w:rsid w:val="001275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A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D7"/>
    <w:rPr>
      <w:rFonts w:ascii="Segoe UI" w:hAnsi="Segoe UI" w:cs="Segoe UI"/>
      <w:color w:val="00000A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437F-4DF4-473C-9662-03FE2D6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CosminR</dc:creator>
  <dc:description/>
  <cp:lastModifiedBy>Radu Dragne</cp:lastModifiedBy>
  <cp:revision>10</cp:revision>
  <cp:lastPrinted>2019-04-19T11:29:00Z</cp:lastPrinted>
  <dcterms:created xsi:type="dcterms:W3CDTF">2020-04-03T11:44:00Z</dcterms:created>
  <dcterms:modified xsi:type="dcterms:W3CDTF">2020-04-14T07:53:00Z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